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247" w:rsidRDefault="00092247" w:rsidP="00092247">
      <w:bookmarkStart w:id="0" w:name="_GoBack"/>
      <w:bookmarkEnd w:id="0"/>
    </w:p>
    <w:p w:rsidR="00092247" w:rsidRDefault="00092247" w:rsidP="00092247">
      <w:pPr>
        <w:rPr>
          <w:b/>
          <w:u w:val="single"/>
        </w:rPr>
      </w:pPr>
      <w:r w:rsidRPr="00A06B18">
        <w:rPr>
          <w:b/>
          <w:u w:val="single"/>
        </w:rPr>
        <w:t>SAQP</w:t>
      </w:r>
      <w:r w:rsidR="00C76B92">
        <w:rPr>
          <w:b/>
          <w:u w:val="single"/>
        </w:rPr>
        <w:t>2017</w:t>
      </w:r>
    </w:p>
    <w:p w:rsidR="00092247" w:rsidRDefault="00092247" w:rsidP="00092247">
      <w:pPr>
        <w:rPr>
          <w:b/>
          <w:u w:val="single"/>
        </w:rPr>
      </w:pPr>
    </w:p>
    <w:p w:rsidR="00C76B92" w:rsidRPr="00C76B92" w:rsidRDefault="00C76B92" w:rsidP="00092247">
      <w:pPr>
        <w:rPr>
          <w:b/>
        </w:rPr>
      </w:pPr>
      <w:r w:rsidRPr="00C76B92">
        <w:rPr>
          <w:b/>
        </w:rPr>
        <w:t>Overall Winner</w:t>
      </w:r>
    </w:p>
    <w:p w:rsidR="00C76B92" w:rsidRDefault="00C76B92" w:rsidP="00092247">
      <w:pPr>
        <w:rPr>
          <w:b/>
          <w:u w:val="single"/>
        </w:rPr>
      </w:pPr>
    </w:p>
    <w:tbl>
      <w:tblPr>
        <w:tblStyle w:val="TableGrid"/>
        <w:tblW w:w="12581" w:type="dxa"/>
        <w:tblLayout w:type="fixed"/>
        <w:tblLook w:val="04A0" w:firstRow="1" w:lastRow="0" w:firstColumn="1" w:lastColumn="0" w:noHBand="0" w:noVBand="1"/>
      </w:tblPr>
      <w:tblGrid>
        <w:gridCol w:w="1951"/>
        <w:gridCol w:w="2126"/>
        <w:gridCol w:w="2126"/>
        <w:gridCol w:w="4819"/>
        <w:gridCol w:w="1559"/>
      </w:tblGrid>
      <w:tr w:rsidR="00C76B92" w:rsidRPr="00C76B92" w:rsidTr="00C76B92">
        <w:tc>
          <w:tcPr>
            <w:tcW w:w="1951" w:type="dxa"/>
          </w:tcPr>
          <w:p w:rsidR="00C76B92" w:rsidRPr="00C76B92" w:rsidRDefault="00C76B92" w:rsidP="001E6153">
            <w:pPr>
              <w:spacing w:line="240" w:lineRule="auto"/>
              <w:rPr>
                <w:rFonts w:cs="Arial"/>
                <w:sz w:val="22"/>
                <w:szCs w:val="22"/>
              </w:rPr>
            </w:pPr>
            <w:r w:rsidRPr="00C76B92">
              <w:rPr>
                <w:rFonts w:cs="Arial"/>
                <w:sz w:val="22"/>
                <w:szCs w:val="22"/>
              </w:rPr>
              <w:t>Applicant</w:t>
            </w:r>
          </w:p>
        </w:tc>
        <w:tc>
          <w:tcPr>
            <w:tcW w:w="2126" w:type="dxa"/>
          </w:tcPr>
          <w:p w:rsidR="00C76B92" w:rsidRPr="00C76B92" w:rsidRDefault="00C76B92" w:rsidP="001E6153">
            <w:pPr>
              <w:spacing w:line="240" w:lineRule="auto"/>
              <w:rPr>
                <w:rFonts w:cs="Arial"/>
                <w:sz w:val="22"/>
                <w:szCs w:val="22"/>
              </w:rPr>
            </w:pPr>
            <w:r w:rsidRPr="00C76B92">
              <w:rPr>
                <w:rFonts w:cs="Arial"/>
                <w:sz w:val="22"/>
                <w:szCs w:val="22"/>
              </w:rPr>
              <w:t>Contact</w:t>
            </w:r>
          </w:p>
        </w:tc>
        <w:tc>
          <w:tcPr>
            <w:tcW w:w="2126" w:type="dxa"/>
          </w:tcPr>
          <w:p w:rsidR="00C76B92" w:rsidRPr="00C76B92" w:rsidRDefault="00C76B92" w:rsidP="001E6153">
            <w:pPr>
              <w:spacing w:line="240" w:lineRule="auto"/>
              <w:rPr>
                <w:rFonts w:cs="Arial"/>
                <w:sz w:val="22"/>
                <w:szCs w:val="22"/>
              </w:rPr>
            </w:pPr>
            <w:r w:rsidRPr="00C76B92">
              <w:rPr>
                <w:rFonts w:cs="Arial"/>
                <w:sz w:val="22"/>
                <w:szCs w:val="22"/>
              </w:rPr>
              <w:t>Project Name</w:t>
            </w:r>
          </w:p>
        </w:tc>
        <w:tc>
          <w:tcPr>
            <w:tcW w:w="4819" w:type="dxa"/>
          </w:tcPr>
          <w:p w:rsidR="00C76B92" w:rsidRPr="00C76B92" w:rsidRDefault="00C76B92" w:rsidP="001E6153">
            <w:pPr>
              <w:spacing w:line="240" w:lineRule="auto"/>
              <w:rPr>
                <w:rFonts w:cs="Arial"/>
                <w:sz w:val="22"/>
                <w:szCs w:val="22"/>
              </w:rPr>
            </w:pPr>
            <w:r w:rsidRPr="00C76B92">
              <w:rPr>
                <w:rFonts w:cs="Arial"/>
                <w:sz w:val="22"/>
                <w:szCs w:val="22"/>
              </w:rPr>
              <w:t>Project text</w:t>
            </w:r>
          </w:p>
        </w:tc>
        <w:tc>
          <w:tcPr>
            <w:tcW w:w="1559" w:type="dxa"/>
          </w:tcPr>
          <w:p w:rsidR="00C76B92" w:rsidRPr="00C76B92" w:rsidRDefault="00C76B92" w:rsidP="001E6153">
            <w:pPr>
              <w:spacing w:line="240" w:lineRule="auto"/>
              <w:rPr>
                <w:rFonts w:cs="Arial"/>
                <w:sz w:val="22"/>
                <w:szCs w:val="22"/>
              </w:rPr>
            </w:pPr>
            <w:r w:rsidRPr="00C76B92">
              <w:rPr>
                <w:rFonts w:cs="Arial"/>
                <w:sz w:val="22"/>
                <w:szCs w:val="22"/>
              </w:rPr>
              <w:t>Category</w:t>
            </w:r>
          </w:p>
        </w:tc>
      </w:tr>
      <w:tr w:rsidR="00C76B92" w:rsidRPr="00C76B92" w:rsidTr="00C76B92">
        <w:tc>
          <w:tcPr>
            <w:tcW w:w="1951" w:type="dxa"/>
          </w:tcPr>
          <w:p w:rsidR="00C76B92" w:rsidRPr="00C76B92" w:rsidRDefault="00C76B92" w:rsidP="001E6153">
            <w:pPr>
              <w:spacing w:line="240" w:lineRule="auto"/>
              <w:rPr>
                <w:rFonts w:cs="Arial"/>
                <w:sz w:val="22"/>
                <w:szCs w:val="22"/>
              </w:rPr>
            </w:pPr>
            <w:r w:rsidRPr="00C76B92">
              <w:rPr>
                <w:rFonts w:cs="Arial"/>
                <w:sz w:val="22"/>
                <w:szCs w:val="22"/>
              </w:rPr>
              <w:t>Orkney Islands Council</w:t>
            </w:r>
          </w:p>
        </w:tc>
        <w:tc>
          <w:tcPr>
            <w:tcW w:w="2126" w:type="dxa"/>
          </w:tcPr>
          <w:p w:rsidR="00C76B92" w:rsidRPr="00C76B92" w:rsidRDefault="00BC6CF5" w:rsidP="001E6153">
            <w:pPr>
              <w:spacing w:line="240" w:lineRule="auto"/>
              <w:rPr>
                <w:rFonts w:cs="Arial"/>
                <w:sz w:val="22"/>
                <w:szCs w:val="22"/>
              </w:rPr>
            </w:pPr>
            <w:hyperlink r:id="rId6" w:history="1">
              <w:r w:rsidR="00C76B92" w:rsidRPr="00C76B92">
                <w:rPr>
                  <w:rStyle w:val="Hyperlink"/>
                  <w:rFonts w:cs="Arial"/>
                  <w:sz w:val="22"/>
                  <w:szCs w:val="22"/>
                </w:rPr>
                <w:t>Stuart.west@orkney.gov.uk</w:t>
              </w:r>
            </w:hyperlink>
          </w:p>
        </w:tc>
        <w:tc>
          <w:tcPr>
            <w:tcW w:w="2126" w:type="dxa"/>
          </w:tcPr>
          <w:p w:rsidR="00C76B92" w:rsidRPr="00C76B92" w:rsidRDefault="00C76B92" w:rsidP="001E6153">
            <w:pPr>
              <w:spacing w:line="240" w:lineRule="auto"/>
              <w:rPr>
                <w:rFonts w:cs="Arial"/>
                <w:sz w:val="22"/>
                <w:szCs w:val="22"/>
              </w:rPr>
            </w:pPr>
            <w:r w:rsidRPr="00C76B92">
              <w:rPr>
                <w:rFonts w:cs="Arial"/>
                <w:sz w:val="22"/>
                <w:szCs w:val="22"/>
              </w:rPr>
              <w:t>‘Team Stromness’ – Urban Regeneration Project</w:t>
            </w:r>
          </w:p>
        </w:tc>
        <w:tc>
          <w:tcPr>
            <w:tcW w:w="4819" w:type="dxa"/>
          </w:tcPr>
          <w:p w:rsidR="00C76B92" w:rsidRPr="00C76B92" w:rsidRDefault="00C76B92" w:rsidP="001E6153">
            <w:pPr>
              <w:spacing w:line="240" w:lineRule="auto"/>
              <w:rPr>
                <w:rFonts w:cs="Arial"/>
                <w:sz w:val="22"/>
                <w:szCs w:val="22"/>
              </w:rPr>
            </w:pPr>
            <w:r w:rsidRPr="00C76B92">
              <w:rPr>
                <w:rFonts w:cs="Arial"/>
                <w:sz w:val="22"/>
                <w:szCs w:val="22"/>
              </w:rPr>
              <w:t>Collaboration between a number of council teams to deliver regeneration of Stromness by enhancing its appearance and increasing the offer of commercial space.</w:t>
            </w:r>
          </w:p>
          <w:p w:rsidR="00C76B92" w:rsidRPr="00C76B92" w:rsidRDefault="00C76B92" w:rsidP="001E6153">
            <w:pPr>
              <w:spacing w:line="240" w:lineRule="auto"/>
              <w:rPr>
                <w:rFonts w:cs="Arial"/>
                <w:sz w:val="22"/>
                <w:szCs w:val="22"/>
              </w:rPr>
            </w:pPr>
          </w:p>
          <w:p w:rsidR="00C76B92" w:rsidRPr="00C76B92" w:rsidRDefault="00C76B92" w:rsidP="001E6153">
            <w:pPr>
              <w:spacing w:line="240" w:lineRule="auto"/>
              <w:rPr>
                <w:rFonts w:cs="Arial"/>
                <w:sz w:val="22"/>
                <w:szCs w:val="22"/>
              </w:rPr>
            </w:pPr>
            <w:r w:rsidRPr="00C76B92">
              <w:rPr>
                <w:rFonts w:cs="Arial"/>
                <w:sz w:val="22"/>
                <w:szCs w:val="22"/>
              </w:rPr>
              <w:t>The Judges have recognised Orkney Islands Council with an Overall Award for its Team Stromness project.  The judges considered that this was an exemplary Urban Design Framework delivering on the ground. The Council’s passion to see Stromness modernise whilst maintaining its historical elegance was to be congratulated.</w:t>
            </w:r>
          </w:p>
        </w:tc>
        <w:tc>
          <w:tcPr>
            <w:tcW w:w="1559" w:type="dxa"/>
          </w:tcPr>
          <w:p w:rsidR="00C76B92" w:rsidRPr="00C76B92" w:rsidRDefault="00C76B92" w:rsidP="001E6153">
            <w:pPr>
              <w:spacing w:line="240" w:lineRule="auto"/>
              <w:rPr>
                <w:rFonts w:cs="Arial"/>
                <w:sz w:val="22"/>
                <w:szCs w:val="22"/>
              </w:rPr>
            </w:pPr>
            <w:r w:rsidRPr="00C76B92">
              <w:rPr>
                <w:rFonts w:cs="Arial"/>
                <w:sz w:val="22"/>
                <w:szCs w:val="22"/>
              </w:rPr>
              <w:t>Process</w:t>
            </w:r>
          </w:p>
        </w:tc>
      </w:tr>
    </w:tbl>
    <w:p w:rsidR="00C76B92" w:rsidRDefault="00C76B92" w:rsidP="00092247">
      <w:pPr>
        <w:rPr>
          <w:b/>
          <w:u w:val="single"/>
        </w:rPr>
      </w:pPr>
    </w:p>
    <w:p w:rsidR="00C76B92" w:rsidRPr="00C76B92" w:rsidRDefault="00C76B92" w:rsidP="00092247">
      <w:pPr>
        <w:rPr>
          <w:b/>
        </w:rPr>
      </w:pPr>
      <w:r w:rsidRPr="00C76B92">
        <w:rPr>
          <w:b/>
        </w:rPr>
        <w:t>Award Winners</w:t>
      </w:r>
    </w:p>
    <w:p w:rsidR="00C76B92" w:rsidRDefault="00C76B92" w:rsidP="00092247">
      <w:pPr>
        <w:rPr>
          <w:b/>
          <w:u w:val="single"/>
        </w:rPr>
      </w:pPr>
    </w:p>
    <w:p w:rsidR="00092247" w:rsidRPr="00C76B92" w:rsidRDefault="00092247" w:rsidP="00C76B92">
      <w:pPr>
        <w:spacing w:line="240" w:lineRule="auto"/>
        <w:rPr>
          <w:rFonts w:cs="Arial"/>
          <w:sz w:val="22"/>
          <w:szCs w:val="22"/>
        </w:rPr>
      </w:pPr>
    </w:p>
    <w:tbl>
      <w:tblPr>
        <w:tblStyle w:val="TableGrid"/>
        <w:tblW w:w="12581" w:type="dxa"/>
        <w:tblLayout w:type="fixed"/>
        <w:tblLook w:val="04A0" w:firstRow="1" w:lastRow="0" w:firstColumn="1" w:lastColumn="0" w:noHBand="0" w:noVBand="1"/>
      </w:tblPr>
      <w:tblGrid>
        <w:gridCol w:w="1951"/>
        <w:gridCol w:w="2126"/>
        <w:gridCol w:w="2126"/>
        <w:gridCol w:w="4819"/>
        <w:gridCol w:w="1559"/>
      </w:tblGrid>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Applicant</w:t>
            </w:r>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Contact</w:t>
            </w:r>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Project Name</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Project text</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Category</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Cairngorms National Park Authority</w:t>
            </w:r>
          </w:p>
        </w:tc>
        <w:tc>
          <w:tcPr>
            <w:tcW w:w="2126" w:type="dxa"/>
          </w:tcPr>
          <w:p w:rsidR="00C76B92" w:rsidRPr="00C76B92" w:rsidRDefault="00BC6CF5" w:rsidP="00C76B92">
            <w:pPr>
              <w:spacing w:line="240" w:lineRule="auto"/>
              <w:rPr>
                <w:rFonts w:cs="Arial"/>
                <w:sz w:val="22"/>
                <w:szCs w:val="22"/>
              </w:rPr>
            </w:pPr>
            <w:hyperlink r:id="rId7" w:history="1">
              <w:r w:rsidR="00C76B92" w:rsidRPr="00C76B92">
                <w:rPr>
                  <w:rStyle w:val="Hyperlink"/>
                  <w:rFonts w:cs="Arial"/>
                  <w:sz w:val="22"/>
                  <w:szCs w:val="22"/>
                </w:rPr>
                <w:t>davidberry@cairngorms.co.uk</w:t>
              </w:r>
            </w:hyperlink>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Snow Roads Scenic Route Initiative</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The project was developed to enhance the visitors’ experience of the Scottish landscape by creating three newly designed viewpoints.</w:t>
            </w:r>
          </w:p>
          <w:p w:rsidR="00C76B92" w:rsidRPr="00C76B92" w:rsidRDefault="00C76B92" w:rsidP="00C76B92">
            <w:pPr>
              <w:spacing w:line="240" w:lineRule="auto"/>
              <w:rPr>
                <w:rFonts w:cs="Arial"/>
                <w:sz w:val="22"/>
                <w:szCs w:val="22"/>
              </w:rPr>
            </w:pPr>
          </w:p>
          <w:p w:rsidR="00C76B92" w:rsidRDefault="00C76B92" w:rsidP="00C76B92">
            <w:pPr>
              <w:spacing w:line="240" w:lineRule="auto"/>
              <w:rPr>
                <w:rFonts w:cs="Arial"/>
                <w:color w:val="943634" w:themeColor="accent2" w:themeShade="BF"/>
                <w:sz w:val="22"/>
                <w:szCs w:val="22"/>
              </w:rPr>
            </w:pPr>
            <w:r w:rsidRPr="00C76B92">
              <w:rPr>
                <w:rFonts w:cs="Arial"/>
                <w:sz w:val="22"/>
                <w:szCs w:val="22"/>
              </w:rPr>
              <w:t xml:space="preserve">The Judges felt this was a very successful project and would like to see Scenic Routes across Scotland. As well as the Routes providing an additional attraction to the local area, they were considered a creative way to involve young architects and allow them to </w:t>
            </w:r>
            <w:r w:rsidRPr="00C76B92">
              <w:rPr>
                <w:rFonts w:cs="Arial"/>
                <w:sz w:val="22"/>
                <w:szCs w:val="22"/>
              </w:rPr>
              <w:lastRenderedPageBreak/>
              <w:t>have their own fingerprints on the landscape</w:t>
            </w:r>
            <w:r w:rsidRPr="00C76B92">
              <w:rPr>
                <w:rFonts w:cs="Arial"/>
                <w:color w:val="943634" w:themeColor="accent2" w:themeShade="BF"/>
                <w:sz w:val="22"/>
                <w:szCs w:val="22"/>
              </w:rPr>
              <w:t>.</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cs="Arial"/>
                <w:sz w:val="22"/>
                <w:szCs w:val="22"/>
              </w:rPr>
              <w:t>This project also won the People’s Choice Award 2017</w:t>
            </w:r>
            <w:r>
              <w:rPr>
                <w:rFonts w:cs="Arial"/>
                <w:color w:val="1F497D"/>
              </w:rPr>
              <w:t>.</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lastRenderedPageBreak/>
              <w:t>Place</w:t>
            </w:r>
          </w:p>
          <w:p w:rsidR="00C76B92" w:rsidRPr="00C76B92" w:rsidRDefault="00C76B92" w:rsidP="00C76B92">
            <w:pPr>
              <w:spacing w:line="240" w:lineRule="auto"/>
              <w:rPr>
                <w:rFonts w:cs="Arial"/>
                <w:sz w:val="22"/>
                <w:szCs w:val="22"/>
              </w:rPr>
            </w:pP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lastRenderedPageBreak/>
              <w:t>The Highland Council</w:t>
            </w:r>
          </w:p>
        </w:tc>
        <w:tc>
          <w:tcPr>
            <w:tcW w:w="2126" w:type="dxa"/>
          </w:tcPr>
          <w:p w:rsidR="00C76B92" w:rsidRPr="00C76B92" w:rsidRDefault="00BC6CF5" w:rsidP="00C76B92">
            <w:pPr>
              <w:spacing w:line="240" w:lineRule="auto"/>
              <w:rPr>
                <w:rFonts w:cs="Arial"/>
                <w:sz w:val="22"/>
                <w:szCs w:val="22"/>
              </w:rPr>
            </w:pPr>
            <w:hyperlink r:id="rId8" w:history="1">
              <w:r w:rsidR="00C76B92" w:rsidRPr="00C76B92">
                <w:rPr>
                  <w:rStyle w:val="Hyperlink"/>
                  <w:rFonts w:cs="Arial"/>
                  <w:sz w:val="22"/>
                  <w:szCs w:val="22"/>
                </w:rPr>
                <w:t>Malcolm.macleod@highland.gov.uk</w:t>
              </w:r>
            </w:hyperlink>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Nucleus: The Nuclear and Caithness Archive, Wick</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Opened in February 2017, ‘Nucleus’ contains the archives of the UK civil nuclear industry and the historical archives of Caithness.</w:t>
            </w:r>
          </w:p>
          <w:p w:rsidR="00C76B92" w:rsidRPr="00C76B92" w:rsidRDefault="00C76B92" w:rsidP="00C76B92">
            <w:pPr>
              <w:spacing w:line="240" w:lineRule="auto"/>
              <w:rPr>
                <w:rFonts w:cs="Arial"/>
                <w:sz w:val="22"/>
                <w:szCs w:val="22"/>
              </w:rPr>
            </w:pPr>
          </w:p>
          <w:p w:rsidR="00C76B92" w:rsidRPr="00C76B92" w:rsidRDefault="00C76B92" w:rsidP="00C76B92">
            <w:pPr>
              <w:pStyle w:val="ListParagraph"/>
              <w:spacing w:after="0" w:line="240" w:lineRule="auto"/>
              <w:ind w:left="34"/>
              <w:jc w:val="both"/>
              <w:rPr>
                <w:rFonts w:ascii="Arial" w:hAnsi="Arial" w:cs="Arial"/>
                <w:color w:val="943634" w:themeColor="accent2" w:themeShade="BF"/>
                <w:lang w:eastAsia="en-US"/>
              </w:rPr>
            </w:pPr>
            <w:r w:rsidRPr="00C76B92">
              <w:rPr>
                <w:rFonts w:ascii="Arial" w:hAnsi="Arial" w:cs="Arial"/>
              </w:rPr>
              <w:t>The Judges felt this was a wonderful, strong and robust piece of architecture. There was no doubt that it was built to last – which was an important factor in considering its precious cultural and built heritage contents. In order to deliver the development, on time, the planning team moved quickly and effectively to deliver</w:t>
            </w:r>
            <w:r w:rsidRPr="00C76B92">
              <w:rPr>
                <w:rFonts w:ascii="Arial" w:hAnsi="Arial" w:cs="Arial"/>
                <w:color w:val="943634" w:themeColor="accent2" w:themeShade="BF"/>
              </w:rPr>
              <w:t>.</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Place</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Midlothian Council</w:t>
            </w:r>
          </w:p>
        </w:tc>
        <w:tc>
          <w:tcPr>
            <w:tcW w:w="2126" w:type="dxa"/>
          </w:tcPr>
          <w:p w:rsidR="00C76B92" w:rsidRPr="00C76B92" w:rsidRDefault="00BC6CF5" w:rsidP="00C76B92">
            <w:pPr>
              <w:spacing w:line="240" w:lineRule="auto"/>
              <w:rPr>
                <w:rFonts w:cs="Arial"/>
                <w:sz w:val="22"/>
                <w:szCs w:val="22"/>
              </w:rPr>
            </w:pPr>
            <w:hyperlink r:id="rId9" w:history="1">
              <w:r w:rsidR="00C76B92" w:rsidRPr="00C76B92">
                <w:rPr>
                  <w:rStyle w:val="Hyperlink"/>
                  <w:rFonts w:cs="Arial"/>
                  <w:sz w:val="22"/>
                  <w:szCs w:val="22"/>
                </w:rPr>
                <w:t>Grant.ballantine@midlothian.gov.uk</w:t>
              </w:r>
            </w:hyperlink>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Dalkeith Town Centre Heritage Restoration Project</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A place based approach for Dalkeith using the town’s heritage assets combined with local community and business commitment.</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cs="Arial"/>
                <w:sz w:val="22"/>
                <w:szCs w:val="22"/>
              </w:rPr>
              <w:t xml:space="preserve">The Judges felt that this was a true transformation of place project achieved over a long sustained period with officials, working, continually, through a series of small interventions.  Collectively this was now having an impact on the street scene but it was also achieved through an inclusive place-based approach involving engagement with local businesses. </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Place</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West Dunbartonshire Council</w:t>
            </w:r>
          </w:p>
        </w:tc>
        <w:tc>
          <w:tcPr>
            <w:tcW w:w="2126" w:type="dxa"/>
          </w:tcPr>
          <w:p w:rsidR="00C76B92" w:rsidRPr="00C76B92" w:rsidRDefault="00BC6CF5" w:rsidP="00C76B92">
            <w:pPr>
              <w:spacing w:line="240" w:lineRule="auto"/>
              <w:rPr>
                <w:rFonts w:cs="Arial"/>
                <w:sz w:val="22"/>
                <w:szCs w:val="22"/>
              </w:rPr>
            </w:pPr>
            <w:hyperlink r:id="rId10" w:history="1">
              <w:r w:rsidR="00C76B92" w:rsidRPr="00C76B92">
                <w:rPr>
                  <w:rStyle w:val="Hyperlink"/>
                  <w:rFonts w:cs="Arial"/>
                  <w:sz w:val="22"/>
                  <w:szCs w:val="22"/>
                </w:rPr>
                <w:t>Karen.mcchesney@west-dunbarton.gov.uk</w:t>
              </w:r>
            </w:hyperlink>
            <w:r w:rsidR="00C76B92" w:rsidRPr="00C76B92">
              <w:rPr>
                <w:rFonts w:cs="Arial"/>
                <w:sz w:val="22"/>
                <w:szCs w:val="22"/>
              </w:rPr>
              <w:t xml:space="preserve"> </w:t>
            </w:r>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Bowling Arches Refurbishment Phases 1 and 2</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 xml:space="preserve">Arches in a former railway bridge were restored as a means to generate recreational and commercial activity. </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cs="Arial"/>
                <w:sz w:val="22"/>
                <w:szCs w:val="22"/>
              </w:rPr>
              <w:t xml:space="preserve">The Judges were impressed with the work achieved so far, and recognised that the creation of the place was still a work in </w:t>
            </w:r>
            <w:r w:rsidRPr="00C76B92">
              <w:rPr>
                <w:rFonts w:cs="Arial"/>
                <w:sz w:val="22"/>
                <w:szCs w:val="22"/>
              </w:rPr>
              <w:lastRenderedPageBreak/>
              <w:t>progress. It was a delight to see what had been accomplished through the commitment of all the parties involved as well as the careful application of limited, but continued funding.</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lastRenderedPageBreak/>
              <w:t>Place</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lastRenderedPageBreak/>
              <w:t>West Dunbartonshire Council</w:t>
            </w:r>
          </w:p>
        </w:tc>
        <w:tc>
          <w:tcPr>
            <w:tcW w:w="2126" w:type="dxa"/>
          </w:tcPr>
          <w:p w:rsidR="00C76B92" w:rsidRPr="00C76B92" w:rsidRDefault="00BC6CF5" w:rsidP="00C76B92">
            <w:pPr>
              <w:spacing w:line="240" w:lineRule="auto"/>
              <w:rPr>
                <w:rFonts w:cs="Arial"/>
                <w:sz w:val="22"/>
                <w:szCs w:val="22"/>
              </w:rPr>
            </w:pPr>
            <w:hyperlink r:id="rId11" w:history="1">
              <w:r w:rsidR="00C76B92" w:rsidRPr="00C76B92">
                <w:rPr>
                  <w:rStyle w:val="Hyperlink"/>
                  <w:rFonts w:cs="Arial"/>
                  <w:sz w:val="22"/>
                  <w:szCs w:val="22"/>
                </w:rPr>
                <w:t>Bernard.darroch@west-dunbarton.gov.uk</w:t>
              </w:r>
            </w:hyperlink>
            <w:r w:rsidR="00C76B92" w:rsidRPr="00C76B92">
              <w:rPr>
                <w:rFonts w:cs="Arial"/>
                <w:sz w:val="22"/>
                <w:szCs w:val="22"/>
              </w:rPr>
              <w:t xml:space="preserve"> </w:t>
            </w:r>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Kippen Dairy Residential Development</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Comprising 11 houses and 44 flats, this development of affordable housing is located in Alexandria town centre.</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eastAsia="Calibri" w:cs="Arial"/>
                <w:sz w:val="22"/>
                <w:szCs w:val="22"/>
              </w:rPr>
              <w:t xml:space="preserve">The Judges considered this to be a good solid social housing development using a sensitive palette of materials. The scale blended in well along the High Street as well as supporting some bold regeneration within the town centre and positioning social housing at the heart of the place.  </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Place</w:t>
            </w:r>
          </w:p>
        </w:tc>
      </w:tr>
      <w:tr w:rsidR="00C76B92" w:rsidRPr="00C76B92" w:rsidTr="00C76B92">
        <w:tc>
          <w:tcPr>
            <w:tcW w:w="1951" w:type="dxa"/>
          </w:tcPr>
          <w:p w:rsidR="00C76B92" w:rsidRPr="00C76B92" w:rsidRDefault="00C76B92" w:rsidP="00C76B92">
            <w:pPr>
              <w:spacing w:line="240" w:lineRule="auto"/>
              <w:rPr>
                <w:rFonts w:cs="Arial"/>
                <w:sz w:val="22"/>
                <w:szCs w:val="22"/>
              </w:rPr>
            </w:pPr>
          </w:p>
        </w:tc>
        <w:tc>
          <w:tcPr>
            <w:tcW w:w="2126" w:type="dxa"/>
          </w:tcPr>
          <w:p w:rsidR="00C76B92" w:rsidRPr="00C76B92" w:rsidRDefault="00C76B92" w:rsidP="00C76B92">
            <w:pPr>
              <w:spacing w:line="240" w:lineRule="auto"/>
              <w:rPr>
                <w:rFonts w:cs="Arial"/>
                <w:sz w:val="22"/>
                <w:szCs w:val="22"/>
              </w:rPr>
            </w:pPr>
          </w:p>
        </w:tc>
        <w:tc>
          <w:tcPr>
            <w:tcW w:w="2126" w:type="dxa"/>
          </w:tcPr>
          <w:p w:rsidR="00C76B92" w:rsidRPr="00C76B92" w:rsidRDefault="00C76B92" w:rsidP="00C76B92">
            <w:pPr>
              <w:spacing w:line="240" w:lineRule="auto"/>
              <w:rPr>
                <w:rFonts w:cs="Arial"/>
                <w:sz w:val="22"/>
                <w:szCs w:val="22"/>
              </w:rPr>
            </w:pPr>
          </w:p>
        </w:tc>
        <w:tc>
          <w:tcPr>
            <w:tcW w:w="4819" w:type="dxa"/>
          </w:tcPr>
          <w:p w:rsidR="00C76B92" w:rsidRPr="00C76B92" w:rsidRDefault="00C76B92" w:rsidP="00C76B92">
            <w:pPr>
              <w:spacing w:line="240" w:lineRule="auto"/>
              <w:rPr>
                <w:rFonts w:cs="Arial"/>
                <w:sz w:val="22"/>
                <w:szCs w:val="22"/>
              </w:rPr>
            </w:pPr>
          </w:p>
        </w:tc>
        <w:tc>
          <w:tcPr>
            <w:tcW w:w="1559" w:type="dxa"/>
          </w:tcPr>
          <w:p w:rsidR="00C76B92" w:rsidRPr="00C76B92" w:rsidRDefault="00C76B92" w:rsidP="00C76B92">
            <w:pPr>
              <w:spacing w:line="240" w:lineRule="auto"/>
              <w:rPr>
                <w:rFonts w:cs="Arial"/>
                <w:sz w:val="22"/>
                <w:szCs w:val="22"/>
              </w:rPr>
            </w:pP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Falkirk Council</w:t>
            </w:r>
          </w:p>
        </w:tc>
        <w:tc>
          <w:tcPr>
            <w:tcW w:w="2126" w:type="dxa"/>
          </w:tcPr>
          <w:p w:rsidR="00C76B92" w:rsidRPr="00C76B92" w:rsidRDefault="00BC6CF5" w:rsidP="00C76B92">
            <w:pPr>
              <w:spacing w:line="240" w:lineRule="auto"/>
              <w:rPr>
                <w:rFonts w:cs="Arial"/>
                <w:sz w:val="22"/>
                <w:szCs w:val="22"/>
              </w:rPr>
            </w:pPr>
            <w:hyperlink r:id="rId12" w:history="1">
              <w:r w:rsidR="00C76B92" w:rsidRPr="00C76B92">
                <w:rPr>
                  <w:rStyle w:val="Hyperlink"/>
                  <w:rFonts w:cs="Arial"/>
                  <w:sz w:val="22"/>
                  <w:szCs w:val="22"/>
                </w:rPr>
                <w:t>Danny.thallon@falkirk.gov.uk</w:t>
              </w:r>
            </w:hyperlink>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Falkirk Open Space Strategy</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Adopted in October 2016, this strategy informs planning decisions relating to open space and new development in Falkirk.</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eastAsia="Calibri" w:cs="Arial"/>
                <w:sz w:val="22"/>
                <w:szCs w:val="22"/>
              </w:rPr>
              <w:t>The Judges felt this project was great to get</w:t>
            </w:r>
            <w:r>
              <w:rPr>
                <w:rFonts w:eastAsia="Calibri" w:cs="Arial"/>
                <w:sz w:val="22"/>
                <w:szCs w:val="22"/>
              </w:rPr>
              <w:t xml:space="preserve"> the</w:t>
            </w:r>
            <w:r w:rsidRPr="00C76B92">
              <w:rPr>
                <w:rFonts w:eastAsia="Calibri" w:cs="Arial"/>
                <w:sz w:val="22"/>
                <w:szCs w:val="22"/>
              </w:rPr>
              <w:t xml:space="preserve"> community interested in the value of their local greenspace areas. The guidance was not complicated.  It was straightforward plus easy to read and understand. </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Plans</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North Ayrshire Council</w:t>
            </w:r>
          </w:p>
        </w:tc>
        <w:tc>
          <w:tcPr>
            <w:tcW w:w="2126" w:type="dxa"/>
          </w:tcPr>
          <w:p w:rsidR="00C76B92" w:rsidRPr="00C76B92" w:rsidRDefault="00BC6CF5" w:rsidP="00C76B92">
            <w:pPr>
              <w:spacing w:line="240" w:lineRule="auto"/>
              <w:rPr>
                <w:rFonts w:cs="Arial"/>
                <w:sz w:val="22"/>
                <w:szCs w:val="22"/>
              </w:rPr>
            </w:pPr>
            <w:hyperlink r:id="rId13" w:history="1">
              <w:r w:rsidR="00C76B92" w:rsidRPr="00C76B92">
                <w:rPr>
                  <w:rStyle w:val="Hyperlink"/>
                  <w:rFonts w:cs="Arial"/>
                  <w:sz w:val="22"/>
                  <w:szCs w:val="22"/>
                </w:rPr>
                <w:t>nealemcilvanney@north-ayrshire.gov.uk</w:t>
              </w:r>
            </w:hyperlink>
            <w:r w:rsidR="00C76B92" w:rsidRPr="00C76B92">
              <w:rPr>
                <w:rFonts w:cs="Arial"/>
                <w:sz w:val="22"/>
                <w:szCs w:val="22"/>
              </w:rPr>
              <w:t xml:space="preserve"> </w:t>
            </w:r>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North Ayrshire Town Centre Audits</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 xml:space="preserve">In preparing its Local Development Plan, the council produced town centre audits for all of its town centres. </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eastAsia="Calibri" w:cs="Arial"/>
                <w:sz w:val="22"/>
                <w:szCs w:val="22"/>
              </w:rPr>
              <w:t>The Judges felt this project showed the value of a focused approach, showing practical thinking at a strategic level across the area. The work had been well planned and showed solid collaborative working.</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Plans</w:t>
            </w:r>
          </w:p>
        </w:tc>
      </w:tr>
      <w:tr w:rsidR="00C76B92" w:rsidRPr="00C76B92" w:rsidTr="00C76B92">
        <w:tc>
          <w:tcPr>
            <w:tcW w:w="1951" w:type="dxa"/>
          </w:tcPr>
          <w:p w:rsidR="00C76B92" w:rsidRPr="00C76B92" w:rsidRDefault="00C76B92" w:rsidP="00C76B92">
            <w:pPr>
              <w:spacing w:line="240" w:lineRule="auto"/>
              <w:rPr>
                <w:rFonts w:cs="Arial"/>
                <w:sz w:val="22"/>
                <w:szCs w:val="22"/>
              </w:rPr>
            </w:pPr>
          </w:p>
        </w:tc>
        <w:tc>
          <w:tcPr>
            <w:tcW w:w="2126" w:type="dxa"/>
          </w:tcPr>
          <w:p w:rsidR="00C76B92" w:rsidRPr="00C76B92" w:rsidRDefault="00C76B92" w:rsidP="00C76B92">
            <w:pPr>
              <w:spacing w:line="240" w:lineRule="auto"/>
              <w:rPr>
                <w:rFonts w:cs="Arial"/>
                <w:sz w:val="22"/>
                <w:szCs w:val="22"/>
              </w:rPr>
            </w:pPr>
          </w:p>
        </w:tc>
        <w:tc>
          <w:tcPr>
            <w:tcW w:w="2126" w:type="dxa"/>
          </w:tcPr>
          <w:p w:rsidR="00C76B92" w:rsidRPr="00C76B92" w:rsidRDefault="00C76B92" w:rsidP="00C76B92">
            <w:pPr>
              <w:spacing w:line="240" w:lineRule="auto"/>
              <w:rPr>
                <w:rFonts w:cs="Arial"/>
                <w:sz w:val="22"/>
                <w:szCs w:val="22"/>
              </w:rPr>
            </w:pPr>
          </w:p>
        </w:tc>
        <w:tc>
          <w:tcPr>
            <w:tcW w:w="4819" w:type="dxa"/>
          </w:tcPr>
          <w:p w:rsidR="00C76B92" w:rsidRPr="00C76B92" w:rsidRDefault="00C76B92" w:rsidP="00C76B92">
            <w:pPr>
              <w:spacing w:line="240" w:lineRule="auto"/>
              <w:rPr>
                <w:rFonts w:cs="Arial"/>
                <w:sz w:val="22"/>
                <w:szCs w:val="22"/>
              </w:rPr>
            </w:pPr>
          </w:p>
        </w:tc>
        <w:tc>
          <w:tcPr>
            <w:tcW w:w="1559" w:type="dxa"/>
          </w:tcPr>
          <w:p w:rsidR="00C76B92" w:rsidRPr="00C76B92" w:rsidRDefault="00C76B92" w:rsidP="00C76B92">
            <w:pPr>
              <w:spacing w:line="240" w:lineRule="auto"/>
              <w:rPr>
                <w:rFonts w:cs="Arial"/>
                <w:sz w:val="22"/>
                <w:szCs w:val="22"/>
              </w:rPr>
            </w:pP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lastRenderedPageBreak/>
              <w:t>Scottish Borders Council</w:t>
            </w:r>
          </w:p>
        </w:tc>
        <w:tc>
          <w:tcPr>
            <w:tcW w:w="2126" w:type="dxa"/>
          </w:tcPr>
          <w:p w:rsidR="00C76B92" w:rsidRPr="00C76B92" w:rsidRDefault="00BC6CF5" w:rsidP="00C76B92">
            <w:pPr>
              <w:spacing w:line="240" w:lineRule="auto"/>
              <w:rPr>
                <w:rFonts w:cs="Arial"/>
                <w:sz w:val="22"/>
                <w:szCs w:val="22"/>
              </w:rPr>
            </w:pPr>
            <w:hyperlink r:id="rId14" w:history="1">
              <w:r w:rsidR="00C76B92" w:rsidRPr="00C76B92">
                <w:rPr>
                  <w:rStyle w:val="Hyperlink"/>
                  <w:rFonts w:cs="Arial"/>
                  <w:sz w:val="22"/>
                  <w:szCs w:val="22"/>
                </w:rPr>
                <w:t>aevans@scotborders.gov.uk</w:t>
              </w:r>
            </w:hyperlink>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Caseload spreadsheets and performance scorecard</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Developed over the last 24 months, the spreadsheets and scorecard allow the council to actively improve performance.</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eastAsia="Calibri" w:cs="Arial"/>
                <w:sz w:val="22"/>
                <w:szCs w:val="22"/>
              </w:rPr>
              <w:t>The reason the Judges were so impressed with this project is that the Council had created improvements through applying an in house cost effective IT tool where the changes had led to a demonstrable positive impact on performance.</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Process</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The Highland Council</w:t>
            </w:r>
          </w:p>
        </w:tc>
        <w:tc>
          <w:tcPr>
            <w:tcW w:w="2126" w:type="dxa"/>
          </w:tcPr>
          <w:p w:rsidR="00C76B92" w:rsidRPr="00C76B92" w:rsidRDefault="00BC6CF5" w:rsidP="00C76B92">
            <w:pPr>
              <w:spacing w:line="240" w:lineRule="auto"/>
              <w:rPr>
                <w:rFonts w:cs="Arial"/>
                <w:sz w:val="22"/>
                <w:szCs w:val="22"/>
              </w:rPr>
            </w:pPr>
            <w:hyperlink r:id="rId15" w:history="1">
              <w:r w:rsidR="00C76B92" w:rsidRPr="00C76B92">
                <w:rPr>
                  <w:rStyle w:val="Hyperlink"/>
                  <w:rFonts w:cs="Arial"/>
                  <w:sz w:val="22"/>
                  <w:szCs w:val="22"/>
                </w:rPr>
                <w:t>Malcolm.macleod@highland.gov.uk</w:t>
              </w:r>
            </w:hyperlink>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Highland edevelopment – Transforming Service Delivery</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Over 6000 planning and building standard applications and enquiries have been submitted, assessed and determined electronically.</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cs="Arial"/>
                <w:sz w:val="22"/>
                <w:szCs w:val="22"/>
              </w:rPr>
              <w:t>The Judges could see how this project had increased efficiency and had high transferability. There was emphasis on integrating into local systems as well as looking towards integrating Road Construction Consent.</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Process</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Clydeplan SDPA</w:t>
            </w:r>
          </w:p>
        </w:tc>
        <w:tc>
          <w:tcPr>
            <w:tcW w:w="2126" w:type="dxa"/>
          </w:tcPr>
          <w:p w:rsidR="00C76B92" w:rsidRPr="00C76B92" w:rsidRDefault="00BC6CF5" w:rsidP="00C76B92">
            <w:pPr>
              <w:spacing w:line="240" w:lineRule="auto"/>
              <w:rPr>
                <w:rFonts w:cs="Arial"/>
                <w:sz w:val="22"/>
                <w:szCs w:val="22"/>
              </w:rPr>
            </w:pPr>
            <w:hyperlink r:id="rId16" w:history="1">
              <w:r w:rsidR="00C76B92" w:rsidRPr="00C76B92">
                <w:rPr>
                  <w:rStyle w:val="Hyperlink"/>
                  <w:rFonts w:cs="Arial"/>
                  <w:sz w:val="22"/>
                  <w:szCs w:val="22"/>
                </w:rPr>
                <w:t>Michelle.mcguckin@clydeplan-sdpa.gov.uk</w:t>
              </w:r>
            </w:hyperlink>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Future-proofing Clydeplan: Flood Risk Management Tool</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Operational since September 2015, this stand-alone tool assists planning authorities with forward planning, development management decisions and flood risk assessments.</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eastAsia="Calibri" w:cs="Arial"/>
                <w:sz w:val="22"/>
                <w:szCs w:val="22"/>
              </w:rPr>
              <w:t>The Judges felt officials had gone above and beyond their role in creating this tool. Flooding is a sensitive topic and so the team are to be congratulated on helping to clarify the landscape for their local authorities and help in the location of future built developments.</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Process</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Aberdeenshire Council</w:t>
            </w:r>
          </w:p>
        </w:tc>
        <w:tc>
          <w:tcPr>
            <w:tcW w:w="2126" w:type="dxa"/>
          </w:tcPr>
          <w:p w:rsidR="00C76B92" w:rsidRPr="00C76B92" w:rsidRDefault="00BC6CF5" w:rsidP="00C76B92">
            <w:pPr>
              <w:spacing w:line="240" w:lineRule="auto"/>
              <w:rPr>
                <w:rFonts w:cs="Arial"/>
                <w:sz w:val="22"/>
                <w:szCs w:val="22"/>
              </w:rPr>
            </w:pPr>
            <w:hyperlink r:id="rId17" w:history="1">
              <w:r w:rsidR="00C76B92" w:rsidRPr="00C76B92">
                <w:rPr>
                  <w:rStyle w:val="Hyperlink"/>
                  <w:rFonts w:cs="Arial"/>
                  <w:sz w:val="22"/>
                  <w:szCs w:val="22"/>
                </w:rPr>
                <w:t>Rob.mcintosh@aberdeenshire.gov.uk</w:t>
              </w:r>
            </w:hyperlink>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 xml:space="preserve">Delivery of Affordable Housing through the </w:t>
            </w:r>
            <w:r w:rsidRPr="00C76B92">
              <w:rPr>
                <w:rFonts w:cs="Arial"/>
                <w:sz w:val="22"/>
                <w:szCs w:val="22"/>
              </w:rPr>
              <w:lastRenderedPageBreak/>
              <w:t>planning system</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lastRenderedPageBreak/>
              <w:t>Through the use of planning obligations, the council’s Conveyancing Team assist in the securing of housing and land in Aberdeenshire.</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eastAsia="Calibri" w:cs="Arial"/>
                <w:sz w:val="22"/>
                <w:szCs w:val="22"/>
              </w:rPr>
              <w:t>The Judges felt that this team had taken grasp of the issues regarding affordable housing.  Galvanising the team through a committed delivery approach was very good practice which could be transferable to other authorities.</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lastRenderedPageBreak/>
              <w:t>Process</w:t>
            </w:r>
          </w:p>
        </w:tc>
      </w:tr>
      <w:tr w:rsidR="00C76B92" w:rsidRPr="00C76B92" w:rsidTr="00C76B92">
        <w:tc>
          <w:tcPr>
            <w:tcW w:w="1951" w:type="dxa"/>
          </w:tcPr>
          <w:p w:rsidR="00C76B92" w:rsidRPr="00C76B92" w:rsidRDefault="00C76B92" w:rsidP="00C76B92">
            <w:pPr>
              <w:spacing w:line="240" w:lineRule="auto"/>
              <w:rPr>
                <w:rFonts w:cs="Arial"/>
                <w:sz w:val="22"/>
                <w:szCs w:val="22"/>
              </w:rPr>
            </w:pPr>
          </w:p>
        </w:tc>
        <w:tc>
          <w:tcPr>
            <w:tcW w:w="2126" w:type="dxa"/>
          </w:tcPr>
          <w:p w:rsidR="00C76B92" w:rsidRPr="00C76B92" w:rsidRDefault="00C76B92" w:rsidP="00C76B92">
            <w:pPr>
              <w:spacing w:line="240" w:lineRule="auto"/>
              <w:rPr>
                <w:rFonts w:cs="Arial"/>
                <w:sz w:val="22"/>
                <w:szCs w:val="22"/>
              </w:rPr>
            </w:pPr>
          </w:p>
        </w:tc>
        <w:tc>
          <w:tcPr>
            <w:tcW w:w="2126" w:type="dxa"/>
          </w:tcPr>
          <w:p w:rsidR="00C76B92" w:rsidRPr="00C76B92" w:rsidRDefault="00C76B92" w:rsidP="00C76B92">
            <w:pPr>
              <w:spacing w:line="240" w:lineRule="auto"/>
              <w:rPr>
                <w:rFonts w:cs="Arial"/>
                <w:sz w:val="22"/>
                <w:szCs w:val="22"/>
              </w:rPr>
            </w:pPr>
          </w:p>
        </w:tc>
        <w:tc>
          <w:tcPr>
            <w:tcW w:w="4819" w:type="dxa"/>
          </w:tcPr>
          <w:p w:rsidR="00C76B92" w:rsidRPr="00C76B92" w:rsidRDefault="00C76B92" w:rsidP="00C76B92">
            <w:pPr>
              <w:spacing w:line="240" w:lineRule="auto"/>
              <w:rPr>
                <w:rFonts w:cs="Arial"/>
                <w:sz w:val="22"/>
                <w:szCs w:val="22"/>
              </w:rPr>
            </w:pPr>
          </w:p>
        </w:tc>
        <w:tc>
          <w:tcPr>
            <w:tcW w:w="1559" w:type="dxa"/>
          </w:tcPr>
          <w:p w:rsidR="00C76B92" w:rsidRPr="00C76B92" w:rsidRDefault="00C76B92" w:rsidP="00C76B92">
            <w:pPr>
              <w:spacing w:line="240" w:lineRule="auto"/>
              <w:rPr>
                <w:rFonts w:cs="Arial"/>
                <w:sz w:val="22"/>
                <w:szCs w:val="22"/>
              </w:rPr>
            </w:pP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Land Use Consultants</w:t>
            </w:r>
          </w:p>
        </w:tc>
        <w:tc>
          <w:tcPr>
            <w:tcW w:w="2126" w:type="dxa"/>
          </w:tcPr>
          <w:p w:rsidR="00C76B92" w:rsidRPr="00C76B92" w:rsidRDefault="00BC6CF5" w:rsidP="00C76B92">
            <w:pPr>
              <w:spacing w:line="240" w:lineRule="auto"/>
              <w:rPr>
                <w:rFonts w:cs="Arial"/>
                <w:sz w:val="22"/>
                <w:szCs w:val="22"/>
              </w:rPr>
            </w:pPr>
            <w:hyperlink r:id="rId18" w:history="1">
              <w:r w:rsidR="00C76B92" w:rsidRPr="00C76B92">
                <w:rPr>
                  <w:rStyle w:val="Hyperlink"/>
                  <w:rFonts w:cs="Arial"/>
                  <w:sz w:val="22"/>
                  <w:szCs w:val="22"/>
                </w:rPr>
                <w:t>Nick.james@landuse.co.uk</w:t>
              </w:r>
            </w:hyperlink>
            <w:r w:rsidR="00C76B92" w:rsidRPr="00C76B92">
              <w:rPr>
                <w:rFonts w:cs="Arial"/>
                <w:sz w:val="22"/>
                <w:szCs w:val="22"/>
              </w:rPr>
              <w:t xml:space="preserve"> </w:t>
            </w:r>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Scottish Marine Recreation and Tourism Survey</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This spatial mapping project provides information on where people undertake different recreation activities in the Scottish marine environment.</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cs="Arial"/>
                <w:sz w:val="22"/>
                <w:szCs w:val="22"/>
              </w:rPr>
              <w:t>The Judges felt this project demonstrated a strong core partnership. The tool created was of considerable value – especially to explore the untapped potential of future places and activities around Scotland.</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Partnership</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Midlothian Council</w:t>
            </w:r>
          </w:p>
        </w:tc>
        <w:tc>
          <w:tcPr>
            <w:tcW w:w="2126" w:type="dxa"/>
          </w:tcPr>
          <w:p w:rsidR="00C76B92" w:rsidRPr="00C76B92" w:rsidRDefault="00BC6CF5" w:rsidP="00C76B92">
            <w:pPr>
              <w:spacing w:line="240" w:lineRule="auto"/>
              <w:rPr>
                <w:rFonts w:cs="Arial"/>
                <w:sz w:val="22"/>
                <w:szCs w:val="22"/>
              </w:rPr>
            </w:pPr>
            <w:hyperlink r:id="rId19" w:history="1">
              <w:r w:rsidR="00C76B92" w:rsidRPr="00C76B92">
                <w:rPr>
                  <w:rStyle w:val="Hyperlink"/>
                  <w:rFonts w:cs="Arial"/>
                  <w:sz w:val="22"/>
                  <w:szCs w:val="22"/>
                </w:rPr>
                <w:t>Grant.ballantine@midlothian.gov.uk</w:t>
              </w:r>
            </w:hyperlink>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Dalkeith Corn Exchange Restoration</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Involving the external restoration of the Dalkeith Corn Exchange and an internal design which retains key historic features.</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cs="Arial"/>
                <w:sz w:val="22"/>
                <w:szCs w:val="22"/>
              </w:rPr>
              <w:t>The Judges felt this project showed successful partnership working between the public and private sectors, plus the community over a 10 year period. The result has been the creation of a modern and welcoming place as well as a home for a new, and attractive, museum.</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Partnership</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t>West Lothian Council</w:t>
            </w:r>
          </w:p>
        </w:tc>
        <w:tc>
          <w:tcPr>
            <w:tcW w:w="2126" w:type="dxa"/>
          </w:tcPr>
          <w:p w:rsidR="00C76B92" w:rsidRPr="00C76B92" w:rsidRDefault="00BC6CF5" w:rsidP="00C76B92">
            <w:pPr>
              <w:spacing w:line="240" w:lineRule="auto"/>
              <w:rPr>
                <w:rFonts w:cs="Arial"/>
                <w:sz w:val="22"/>
                <w:szCs w:val="22"/>
              </w:rPr>
            </w:pPr>
            <w:hyperlink r:id="rId20" w:history="1">
              <w:r w:rsidR="00C76B92" w:rsidRPr="00C76B92">
                <w:rPr>
                  <w:rStyle w:val="Hyperlink"/>
                  <w:rFonts w:cs="Arial"/>
                  <w:sz w:val="22"/>
                  <w:szCs w:val="22"/>
                </w:rPr>
                <w:t>Fiona.mcbrierty@westlothian.gov.uk</w:t>
              </w:r>
            </w:hyperlink>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West Lothian’s Planning Guidance on Health Impact Assessments</w:t>
            </w:r>
          </w:p>
        </w:tc>
        <w:tc>
          <w:tcPr>
            <w:tcW w:w="4819" w:type="dxa"/>
          </w:tcPr>
          <w:p w:rsidR="00C76B92" w:rsidRPr="00C76B92" w:rsidRDefault="00C76B92" w:rsidP="00C76B92">
            <w:pPr>
              <w:spacing w:line="240" w:lineRule="auto"/>
              <w:rPr>
                <w:rFonts w:cs="Arial"/>
                <w:sz w:val="22"/>
                <w:szCs w:val="22"/>
              </w:rPr>
            </w:pPr>
            <w:r w:rsidRPr="00C76B92">
              <w:rPr>
                <w:rFonts w:cs="Arial"/>
                <w:sz w:val="22"/>
                <w:szCs w:val="22"/>
              </w:rPr>
              <w:t>Prepared in partnership with NHS Lothian this guidance aims to raise awareness of the impact of development on health and well-being.</w:t>
            </w:r>
          </w:p>
          <w:p w:rsidR="00C76B92" w:rsidRPr="00C76B92" w:rsidRDefault="00C76B92" w:rsidP="00C76B92">
            <w:pPr>
              <w:spacing w:line="240" w:lineRule="auto"/>
              <w:rPr>
                <w:rFonts w:cs="Arial"/>
                <w:sz w:val="22"/>
                <w:szCs w:val="22"/>
              </w:rPr>
            </w:pPr>
          </w:p>
          <w:p w:rsidR="00C76B92" w:rsidRPr="00C76B92" w:rsidRDefault="00C76B92" w:rsidP="00C76B92">
            <w:pPr>
              <w:spacing w:line="240" w:lineRule="auto"/>
              <w:rPr>
                <w:rFonts w:cs="Arial"/>
                <w:sz w:val="22"/>
                <w:szCs w:val="22"/>
              </w:rPr>
            </w:pPr>
            <w:r w:rsidRPr="00C76B92">
              <w:rPr>
                <w:rFonts w:cs="Arial"/>
                <w:sz w:val="22"/>
                <w:szCs w:val="22"/>
              </w:rPr>
              <w:t xml:space="preserve">The Judges supported the topic of health and well-being being mainstreamed into planning </w:t>
            </w:r>
            <w:r w:rsidRPr="00C76B92">
              <w:rPr>
                <w:rFonts w:cs="Arial"/>
                <w:sz w:val="22"/>
                <w:szCs w:val="22"/>
              </w:rPr>
              <w:lastRenderedPageBreak/>
              <w:t>and saw the project had huge potential.  The Judges were enthused by the positive partnership with the NHS on this pathfinder project and look forward to seeing the health agenda being applied, more widely in the built environment.</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lastRenderedPageBreak/>
              <w:t>Partnership</w:t>
            </w:r>
          </w:p>
        </w:tc>
      </w:tr>
      <w:tr w:rsidR="00C76B92" w:rsidRPr="00C76B92" w:rsidTr="00C76B92">
        <w:tc>
          <w:tcPr>
            <w:tcW w:w="1951" w:type="dxa"/>
          </w:tcPr>
          <w:p w:rsidR="00C76B92" w:rsidRPr="00C76B92" w:rsidRDefault="00C76B92" w:rsidP="00C76B92">
            <w:pPr>
              <w:spacing w:line="240" w:lineRule="auto"/>
              <w:rPr>
                <w:rFonts w:cs="Arial"/>
                <w:sz w:val="22"/>
                <w:szCs w:val="22"/>
              </w:rPr>
            </w:pPr>
            <w:r w:rsidRPr="00C76B92">
              <w:rPr>
                <w:rFonts w:cs="Arial"/>
                <w:sz w:val="22"/>
                <w:szCs w:val="22"/>
              </w:rPr>
              <w:lastRenderedPageBreak/>
              <w:t>East Ayrshire Council</w:t>
            </w:r>
          </w:p>
        </w:tc>
        <w:tc>
          <w:tcPr>
            <w:tcW w:w="2126" w:type="dxa"/>
          </w:tcPr>
          <w:p w:rsidR="00C76B92" w:rsidRPr="00C76B92" w:rsidRDefault="00BC6CF5" w:rsidP="00C76B92">
            <w:pPr>
              <w:spacing w:line="240" w:lineRule="auto"/>
              <w:rPr>
                <w:rFonts w:cs="Arial"/>
                <w:sz w:val="22"/>
                <w:szCs w:val="22"/>
              </w:rPr>
            </w:pPr>
            <w:hyperlink r:id="rId21" w:history="1">
              <w:r w:rsidR="00C76B92" w:rsidRPr="00C76B92">
                <w:rPr>
                  <w:rStyle w:val="Hyperlink"/>
                  <w:rFonts w:cs="Arial"/>
                  <w:sz w:val="22"/>
                  <w:szCs w:val="22"/>
                </w:rPr>
                <w:t>Colin.mckee@east-ayrshire.gov.uk</w:t>
              </w:r>
            </w:hyperlink>
            <w:r w:rsidR="00C76B92" w:rsidRPr="00C76B92">
              <w:rPr>
                <w:rFonts w:cs="Arial"/>
                <w:sz w:val="22"/>
                <w:szCs w:val="22"/>
              </w:rPr>
              <w:t xml:space="preserve"> </w:t>
            </w:r>
          </w:p>
        </w:tc>
        <w:tc>
          <w:tcPr>
            <w:tcW w:w="2126" w:type="dxa"/>
          </w:tcPr>
          <w:p w:rsidR="00C76B92" w:rsidRPr="00C76B92" w:rsidRDefault="00C76B92" w:rsidP="00C76B92">
            <w:pPr>
              <w:spacing w:line="240" w:lineRule="auto"/>
              <w:rPr>
                <w:rFonts w:cs="Arial"/>
                <w:sz w:val="22"/>
                <w:szCs w:val="22"/>
              </w:rPr>
            </w:pPr>
            <w:r w:rsidRPr="00C76B92">
              <w:rPr>
                <w:rFonts w:cs="Arial"/>
                <w:sz w:val="22"/>
                <w:szCs w:val="22"/>
              </w:rPr>
              <w:t>Catrine Environmental Heritage Project</w:t>
            </w:r>
          </w:p>
        </w:tc>
        <w:tc>
          <w:tcPr>
            <w:tcW w:w="4819" w:type="dxa"/>
          </w:tcPr>
          <w:p w:rsidR="00C76B92" w:rsidRPr="00C76B92" w:rsidRDefault="00C76B92" w:rsidP="00C76B92">
            <w:pPr>
              <w:spacing w:line="240" w:lineRule="auto"/>
              <w:jc w:val="left"/>
              <w:rPr>
                <w:rFonts w:cs="Arial"/>
                <w:sz w:val="22"/>
                <w:szCs w:val="22"/>
              </w:rPr>
            </w:pPr>
            <w:r w:rsidRPr="00C76B92">
              <w:rPr>
                <w:rFonts w:cs="Arial"/>
                <w:sz w:val="22"/>
                <w:szCs w:val="22"/>
              </w:rPr>
              <w:t>Containing three main elements, this partnership approach assists in the future planning and regeneration of Catrine.</w:t>
            </w:r>
          </w:p>
          <w:p w:rsidR="00C76B92" w:rsidRPr="00C76B92" w:rsidRDefault="00C76B92" w:rsidP="00C76B92">
            <w:pPr>
              <w:spacing w:line="240" w:lineRule="auto"/>
              <w:jc w:val="left"/>
              <w:rPr>
                <w:rFonts w:cs="Arial"/>
                <w:sz w:val="22"/>
                <w:szCs w:val="22"/>
              </w:rPr>
            </w:pPr>
          </w:p>
          <w:p w:rsidR="00C76B92" w:rsidRPr="00C76B92" w:rsidRDefault="00C76B92" w:rsidP="00C76B92">
            <w:pPr>
              <w:spacing w:line="240" w:lineRule="auto"/>
              <w:jc w:val="left"/>
              <w:rPr>
                <w:rFonts w:cs="Arial"/>
                <w:sz w:val="22"/>
                <w:szCs w:val="22"/>
              </w:rPr>
            </w:pPr>
            <w:r w:rsidRPr="00C76B92">
              <w:rPr>
                <w:rFonts w:cs="Arial"/>
                <w:sz w:val="22"/>
                <w:szCs w:val="22"/>
              </w:rPr>
              <w:t>The Judges were impressed with how all the partners had tenacity, over the years, with this project and had never given up. The commitment to community involvement had been exceptionally successful and had helped to bring pride back to the place.</w:t>
            </w:r>
          </w:p>
        </w:tc>
        <w:tc>
          <w:tcPr>
            <w:tcW w:w="1559" w:type="dxa"/>
          </w:tcPr>
          <w:p w:rsidR="00C76B92" w:rsidRPr="00C76B92" w:rsidRDefault="00C76B92" w:rsidP="00C76B92">
            <w:pPr>
              <w:spacing w:line="240" w:lineRule="auto"/>
              <w:rPr>
                <w:rFonts w:cs="Arial"/>
                <w:sz w:val="22"/>
                <w:szCs w:val="22"/>
              </w:rPr>
            </w:pPr>
            <w:r w:rsidRPr="00C76B92">
              <w:rPr>
                <w:rFonts w:cs="Arial"/>
                <w:sz w:val="22"/>
                <w:szCs w:val="22"/>
              </w:rPr>
              <w:t>Partnership</w:t>
            </w:r>
          </w:p>
        </w:tc>
      </w:tr>
    </w:tbl>
    <w:p w:rsidR="00092247" w:rsidRPr="00090841" w:rsidRDefault="00092247" w:rsidP="00092247">
      <w:pPr>
        <w:rPr>
          <w:rFonts w:cs="Arial"/>
          <w:sz w:val="22"/>
          <w:szCs w:val="22"/>
        </w:rPr>
      </w:pPr>
    </w:p>
    <w:p w:rsidR="0078194F" w:rsidRDefault="00BC6CF5"/>
    <w:sectPr w:rsidR="0078194F" w:rsidSect="0009224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47"/>
    <w:rsid w:val="00006252"/>
    <w:rsid w:val="00032F91"/>
    <w:rsid w:val="00090841"/>
    <w:rsid w:val="00092247"/>
    <w:rsid w:val="00097844"/>
    <w:rsid w:val="00131F73"/>
    <w:rsid w:val="00147471"/>
    <w:rsid w:val="0019206A"/>
    <w:rsid w:val="001A3A80"/>
    <w:rsid w:val="001B1D70"/>
    <w:rsid w:val="001C2FF2"/>
    <w:rsid w:val="001C55F0"/>
    <w:rsid w:val="002402DB"/>
    <w:rsid w:val="002D477E"/>
    <w:rsid w:val="00370B75"/>
    <w:rsid w:val="0037772F"/>
    <w:rsid w:val="004B3CE8"/>
    <w:rsid w:val="004B7B43"/>
    <w:rsid w:val="004C3866"/>
    <w:rsid w:val="00527938"/>
    <w:rsid w:val="00535954"/>
    <w:rsid w:val="005723DB"/>
    <w:rsid w:val="005973DC"/>
    <w:rsid w:val="005B75F9"/>
    <w:rsid w:val="005C24C9"/>
    <w:rsid w:val="00655107"/>
    <w:rsid w:val="006969FB"/>
    <w:rsid w:val="006C6B78"/>
    <w:rsid w:val="006F6B5A"/>
    <w:rsid w:val="00706A81"/>
    <w:rsid w:val="00762D06"/>
    <w:rsid w:val="007A1CB6"/>
    <w:rsid w:val="007B2061"/>
    <w:rsid w:val="007B572E"/>
    <w:rsid w:val="00850FC1"/>
    <w:rsid w:val="0086447F"/>
    <w:rsid w:val="00873213"/>
    <w:rsid w:val="008C1D04"/>
    <w:rsid w:val="008F4B27"/>
    <w:rsid w:val="00940F10"/>
    <w:rsid w:val="00A2493D"/>
    <w:rsid w:val="00A34B99"/>
    <w:rsid w:val="00A80C1B"/>
    <w:rsid w:val="00AB67EE"/>
    <w:rsid w:val="00B07D2E"/>
    <w:rsid w:val="00B268DD"/>
    <w:rsid w:val="00B3418D"/>
    <w:rsid w:val="00B92224"/>
    <w:rsid w:val="00BC6CF5"/>
    <w:rsid w:val="00C76B92"/>
    <w:rsid w:val="00C862FA"/>
    <w:rsid w:val="00D36B62"/>
    <w:rsid w:val="00D43328"/>
    <w:rsid w:val="00D67046"/>
    <w:rsid w:val="00D90C79"/>
    <w:rsid w:val="00DA06FB"/>
    <w:rsid w:val="00DF0108"/>
    <w:rsid w:val="00EB598E"/>
    <w:rsid w:val="00F10062"/>
    <w:rsid w:val="00FC5909"/>
    <w:rsid w:val="00FE2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92"/>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247"/>
    <w:pPr>
      <w:spacing w:after="0" w:line="240" w:lineRule="auto"/>
    </w:pPr>
    <w:rPr>
      <w:rFonts w:ascii="Arial" w:eastAsia="Times New Roman" w:hAnsi="Arial" w:cs="Times New Roman"/>
      <w:sz w:val="24"/>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92247"/>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092247"/>
    <w:rPr>
      <w:color w:val="0000FF" w:themeColor="hyperlink"/>
      <w:u w:val="single"/>
    </w:rPr>
  </w:style>
  <w:style w:type="character" w:styleId="FollowedHyperlink">
    <w:name w:val="FollowedHyperlink"/>
    <w:basedOn w:val="DefaultParagraphFont"/>
    <w:uiPriority w:val="99"/>
    <w:semiHidden/>
    <w:unhideWhenUsed/>
    <w:rsid w:val="00092247"/>
    <w:rPr>
      <w:color w:val="800080" w:themeColor="followedHyperlink"/>
      <w:u w:val="single"/>
    </w:rPr>
  </w:style>
  <w:style w:type="character" w:customStyle="1" w:styleId="baddress">
    <w:name w:val="b_address"/>
    <w:basedOn w:val="DefaultParagraphFont"/>
    <w:rsid w:val="00DF0108"/>
  </w:style>
  <w:style w:type="paragraph" w:styleId="ListParagraph">
    <w:name w:val="List Paragraph"/>
    <w:basedOn w:val="Normal"/>
    <w:uiPriority w:val="34"/>
    <w:qFormat/>
    <w:rsid w:val="00AB67EE"/>
    <w:pPr>
      <w:tabs>
        <w:tab w:val="clear" w:pos="720"/>
        <w:tab w:val="clear" w:pos="1440"/>
        <w:tab w:val="clear" w:pos="2160"/>
        <w:tab w:val="clear" w:pos="2880"/>
        <w:tab w:val="clear" w:pos="4680"/>
        <w:tab w:val="clear" w:pos="5400"/>
        <w:tab w:val="clear" w:pos="9000"/>
      </w:tabs>
      <w:spacing w:after="200" w:line="276" w:lineRule="auto"/>
      <w:ind w:left="720"/>
      <w:contextualSpacing/>
      <w:jc w:val="left"/>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92"/>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247"/>
    <w:pPr>
      <w:spacing w:after="0" w:line="240" w:lineRule="auto"/>
    </w:pPr>
    <w:rPr>
      <w:rFonts w:ascii="Arial" w:eastAsia="Times New Roman" w:hAnsi="Arial" w:cs="Times New Roman"/>
      <w:sz w:val="24"/>
      <w:szCs w:val="24"/>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92247"/>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Hyperlink">
    <w:name w:val="Hyperlink"/>
    <w:basedOn w:val="DefaultParagraphFont"/>
    <w:uiPriority w:val="99"/>
    <w:unhideWhenUsed/>
    <w:rsid w:val="00092247"/>
    <w:rPr>
      <w:color w:val="0000FF" w:themeColor="hyperlink"/>
      <w:u w:val="single"/>
    </w:rPr>
  </w:style>
  <w:style w:type="character" w:styleId="FollowedHyperlink">
    <w:name w:val="FollowedHyperlink"/>
    <w:basedOn w:val="DefaultParagraphFont"/>
    <w:uiPriority w:val="99"/>
    <w:semiHidden/>
    <w:unhideWhenUsed/>
    <w:rsid w:val="00092247"/>
    <w:rPr>
      <w:color w:val="800080" w:themeColor="followedHyperlink"/>
      <w:u w:val="single"/>
    </w:rPr>
  </w:style>
  <w:style w:type="character" w:customStyle="1" w:styleId="baddress">
    <w:name w:val="b_address"/>
    <w:basedOn w:val="DefaultParagraphFont"/>
    <w:rsid w:val="00DF0108"/>
  </w:style>
  <w:style w:type="paragraph" w:styleId="ListParagraph">
    <w:name w:val="List Paragraph"/>
    <w:basedOn w:val="Normal"/>
    <w:uiPriority w:val="34"/>
    <w:qFormat/>
    <w:rsid w:val="00AB67EE"/>
    <w:pPr>
      <w:tabs>
        <w:tab w:val="clear" w:pos="720"/>
        <w:tab w:val="clear" w:pos="1440"/>
        <w:tab w:val="clear" w:pos="2160"/>
        <w:tab w:val="clear" w:pos="2880"/>
        <w:tab w:val="clear" w:pos="4680"/>
        <w:tab w:val="clear" w:pos="5400"/>
        <w:tab w:val="clear" w:pos="9000"/>
      </w:tabs>
      <w:spacing w:after="200" w:line="276"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colm.macleod@highland.gov.uk" TargetMode="External"/><Relationship Id="rId13" Type="http://schemas.openxmlformats.org/officeDocument/2006/relationships/hyperlink" Target="mailto:nealemcilvanney@north-ayrshire.gov.uk" TargetMode="External"/><Relationship Id="rId18" Type="http://schemas.openxmlformats.org/officeDocument/2006/relationships/hyperlink" Target="mailto:Nick.james@landuse.co.uk" TargetMode="External"/><Relationship Id="rId3" Type="http://schemas.microsoft.com/office/2007/relationships/stylesWithEffects" Target="stylesWithEffects.xml"/><Relationship Id="rId21" Type="http://schemas.openxmlformats.org/officeDocument/2006/relationships/hyperlink" Target="mailto:Colin.mckee@east-ayrshire.gov.uk" TargetMode="External"/><Relationship Id="rId7" Type="http://schemas.openxmlformats.org/officeDocument/2006/relationships/hyperlink" Target="mailto:davidberry@cairngorms.co.uk" TargetMode="External"/><Relationship Id="rId12" Type="http://schemas.openxmlformats.org/officeDocument/2006/relationships/hyperlink" Target="mailto:Danny.thallon@falkirk.gov.uk" TargetMode="External"/><Relationship Id="rId17" Type="http://schemas.openxmlformats.org/officeDocument/2006/relationships/hyperlink" Target="mailto:Rob.mcintosh@aberdeenshire.gov.uk" TargetMode="External"/><Relationship Id="rId2" Type="http://schemas.openxmlformats.org/officeDocument/2006/relationships/styles" Target="styles.xml"/><Relationship Id="rId16" Type="http://schemas.openxmlformats.org/officeDocument/2006/relationships/hyperlink" Target="mailto:Michelle.mcguckin@clydeplan-sdpa.gov.uk" TargetMode="External"/><Relationship Id="rId20" Type="http://schemas.openxmlformats.org/officeDocument/2006/relationships/hyperlink" Target="mailto:Fiona.mcbrierty@westlothian.gov.uk" TargetMode="External"/><Relationship Id="rId1" Type="http://schemas.openxmlformats.org/officeDocument/2006/relationships/customXml" Target="../customXml/item1.xml"/><Relationship Id="rId6" Type="http://schemas.openxmlformats.org/officeDocument/2006/relationships/hyperlink" Target="mailto:Stuart.west@orkney.gov.uk" TargetMode="External"/><Relationship Id="rId11" Type="http://schemas.openxmlformats.org/officeDocument/2006/relationships/hyperlink" Target="mailto:Bernard.darroch@west-dunbarton.gov.uk" TargetMode="External"/><Relationship Id="rId5" Type="http://schemas.openxmlformats.org/officeDocument/2006/relationships/webSettings" Target="webSettings.xml"/><Relationship Id="rId15" Type="http://schemas.openxmlformats.org/officeDocument/2006/relationships/hyperlink" Target="mailto:Malcolm.macleod@highland.gov.uk" TargetMode="External"/><Relationship Id="rId23" Type="http://schemas.openxmlformats.org/officeDocument/2006/relationships/theme" Target="theme/theme1.xml"/><Relationship Id="rId10" Type="http://schemas.openxmlformats.org/officeDocument/2006/relationships/hyperlink" Target="mailto:Karen.mcchesney@west-dunbarton.gov.uk" TargetMode="External"/><Relationship Id="rId19" Type="http://schemas.openxmlformats.org/officeDocument/2006/relationships/hyperlink" Target="mailto:Grant.ballantine@midlothian.gov.uk" TargetMode="External"/><Relationship Id="rId4" Type="http://schemas.openxmlformats.org/officeDocument/2006/relationships/settings" Target="settings.xml"/><Relationship Id="rId9" Type="http://schemas.openxmlformats.org/officeDocument/2006/relationships/hyperlink" Target="mailto:Grant.ballantine@midlothian.gov.uk" TargetMode="External"/><Relationship Id="rId14" Type="http://schemas.openxmlformats.org/officeDocument/2006/relationships/hyperlink" Target="mailto:aevans@scotborder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7F4D3-B41A-4956-9F88-94F901D4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7890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u202749</dc:creator>
  <cp:lastModifiedBy>u440187</cp:lastModifiedBy>
  <cp:revision>2</cp:revision>
  <cp:lastPrinted>2017-05-25T12:58:00Z</cp:lastPrinted>
  <dcterms:created xsi:type="dcterms:W3CDTF">2017-11-14T09:52:00Z</dcterms:created>
  <dcterms:modified xsi:type="dcterms:W3CDTF">2017-11-14T09:52:00Z</dcterms:modified>
</cp:coreProperties>
</file>